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AFA3" w14:textId="7855DE11" w:rsidR="00122A42" w:rsidRPr="00122A42" w:rsidRDefault="00122A42" w:rsidP="00122A42">
      <w:pPr>
        <w:rPr>
          <w:rFonts w:ascii="Tahoma" w:hAnsi="Tahoma" w:cs="Tahoma"/>
        </w:rPr>
      </w:pPr>
      <w:r>
        <w:rPr>
          <w:rFonts w:ascii="Comic Sans MS" w:hAnsi="Comic Sans MS"/>
          <w:i/>
          <w:iCs/>
          <w:sz w:val="28"/>
          <w:szCs w:val="28"/>
        </w:rPr>
        <w:t>Compline</w:t>
      </w:r>
    </w:p>
    <w:p w14:paraId="16C0BE13" w14:textId="77777777" w:rsidR="00B6353D" w:rsidRPr="00B6353D" w:rsidRDefault="00122A42" w:rsidP="00B6353D">
      <w:pPr>
        <w:pStyle w:val="ListParagraph"/>
        <w:numPr>
          <w:ilvl w:val="0"/>
          <w:numId w:val="3"/>
        </w:numPr>
        <w:jc w:val="both"/>
        <w:rPr>
          <w:rFonts w:ascii="Tahoma" w:eastAsia="Batang" w:hAnsi="Tahoma" w:cs="Tahoma"/>
          <w:iCs/>
        </w:rPr>
      </w:pPr>
      <w:r w:rsidRPr="00B6353D">
        <w:rPr>
          <w:rFonts w:ascii="Tahoma" w:eastAsia="Batang" w:hAnsi="Tahoma" w:cs="Tahoma"/>
          <w:i/>
        </w:rPr>
        <w:t xml:space="preserve">Compline is the office that “completes” the day.  It has been called the “bedtime prayer of the Church.”  </w:t>
      </w:r>
    </w:p>
    <w:p w14:paraId="5BBB6F12" w14:textId="48D236BE" w:rsidR="00122A42" w:rsidRDefault="00122A42" w:rsidP="00122A42">
      <w:pPr>
        <w:jc w:val="both"/>
        <w:rPr>
          <w:rFonts w:ascii="Tahoma" w:eastAsia="Batang" w:hAnsi="Tahoma" w:cs="Tahoma"/>
          <w:iCs/>
        </w:rPr>
      </w:pPr>
      <w:r>
        <w:rPr>
          <w:rFonts w:ascii="Tahoma" w:eastAsia="Batang" w:hAnsi="Tahoma" w:cs="Tahoma"/>
          <w:iCs/>
        </w:rPr>
        <w:t>Setting</w:t>
      </w:r>
    </w:p>
    <w:p w14:paraId="438AE313" w14:textId="01D0BFEA" w:rsidR="00122A42" w:rsidRPr="00122A42" w:rsidRDefault="00122A42" w:rsidP="00122A42">
      <w:pPr>
        <w:pStyle w:val="ListParagraph"/>
        <w:numPr>
          <w:ilvl w:val="0"/>
          <w:numId w:val="2"/>
        </w:numPr>
        <w:jc w:val="both"/>
        <w:rPr>
          <w:rFonts w:ascii="Tahoma" w:eastAsia="Batang" w:hAnsi="Tahoma" w:cs="Tahoma"/>
          <w:iCs/>
        </w:rPr>
      </w:pPr>
      <w:r w:rsidRPr="00122A42">
        <w:rPr>
          <w:rFonts w:ascii="Tahoma" w:eastAsia="Batang" w:hAnsi="Tahoma" w:cs="Tahoma"/>
          <w:iCs/>
        </w:rPr>
        <w:t>The community gathers in silence around a candle or lamp which is already lighted when the people arrive.</w:t>
      </w:r>
    </w:p>
    <w:p w14:paraId="405F1773" w14:textId="7AF893F6" w:rsidR="00122A42" w:rsidRDefault="00122A42" w:rsidP="00122A42">
      <w:pPr>
        <w:jc w:val="both"/>
        <w:rPr>
          <w:rFonts w:ascii="Tahoma" w:eastAsia="Batang" w:hAnsi="Tahoma" w:cs="Tahoma"/>
          <w:iCs/>
        </w:rPr>
      </w:pPr>
      <w:r>
        <w:rPr>
          <w:rFonts w:ascii="Tahoma" w:eastAsia="Batang" w:hAnsi="Tahoma" w:cs="Tahoma"/>
          <w:iCs/>
        </w:rPr>
        <w:t>Preparation</w:t>
      </w:r>
    </w:p>
    <w:p w14:paraId="2D513835" w14:textId="7215F041" w:rsidR="00B6353D" w:rsidRPr="00B6353D" w:rsidRDefault="00B6353D" w:rsidP="00B6353D">
      <w:pPr>
        <w:pStyle w:val="ListParagraph"/>
        <w:numPr>
          <w:ilvl w:val="0"/>
          <w:numId w:val="2"/>
        </w:numPr>
        <w:jc w:val="both"/>
        <w:rPr>
          <w:rFonts w:ascii="Tahoma" w:eastAsia="Batang" w:hAnsi="Tahoma" w:cs="Tahoma"/>
          <w:iCs/>
        </w:rPr>
      </w:pPr>
      <w:r>
        <w:rPr>
          <w:rFonts w:ascii="Tahoma" w:eastAsia="Batang" w:hAnsi="Tahoma" w:cs="Tahoma"/>
          <w:iCs/>
        </w:rPr>
        <w:t xml:space="preserve">Note that the service in </w:t>
      </w:r>
      <w:r>
        <w:rPr>
          <w:rFonts w:ascii="Tahoma" w:eastAsia="Batang" w:hAnsi="Tahoma" w:cs="Tahoma"/>
          <w:i/>
        </w:rPr>
        <w:t>A Book of Offices and Services for the Order of Saint Luke</w:t>
      </w:r>
      <w:r>
        <w:rPr>
          <w:rFonts w:ascii="Tahoma" w:eastAsia="Batang" w:hAnsi="Tahoma" w:cs="Tahoma"/>
          <w:iCs/>
        </w:rPr>
        <w:t xml:space="preserve"> is a fuller form with more options than the form which appears in </w:t>
      </w:r>
      <w:r>
        <w:rPr>
          <w:rFonts w:ascii="Tahoma" w:eastAsia="Batang" w:hAnsi="Tahoma" w:cs="Tahoma"/>
          <w:i/>
        </w:rPr>
        <w:t>A Lukan Book of Hours.</w:t>
      </w:r>
    </w:p>
    <w:p w14:paraId="2DA4B3AA" w14:textId="19CA1BFA" w:rsidR="00122A42" w:rsidRPr="00122A42" w:rsidRDefault="00122A42" w:rsidP="00122A42">
      <w:pPr>
        <w:pStyle w:val="ListParagraph"/>
        <w:numPr>
          <w:ilvl w:val="0"/>
          <w:numId w:val="1"/>
        </w:numPr>
        <w:jc w:val="both"/>
        <w:rPr>
          <w:rFonts w:ascii="Tahoma" w:eastAsia="Batang" w:hAnsi="Tahoma" w:cs="Tahoma"/>
          <w:iCs/>
        </w:rPr>
      </w:pPr>
      <w:r>
        <w:rPr>
          <w:rFonts w:ascii="Tahoma" w:eastAsia="Batang" w:hAnsi="Tahoma" w:cs="Tahoma"/>
          <w:iCs/>
        </w:rPr>
        <w:t>The service may be led by one person or various parts of the service may be assigned to</w:t>
      </w:r>
      <w:r w:rsidR="00B6353D">
        <w:rPr>
          <w:rFonts w:ascii="Tahoma" w:eastAsia="Batang" w:hAnsi="Tahoma" w:cs="Tahoma"/>
          <w:iCs/>
        </w:rPr>
        <w:t xml:space="preserve"> various persons who speak from where they are seated.</w:t>
      </w:r>
    </w:p>
    <w:p w14:paraId="535B62B3" w14:textId="220C6975" w:rsidR="00122A42" w:rsidRDefault="00122A42" w:rsidP="00B6353D">
      <w:pPr>
        <w:pStyle w:val="ListParagraph"/>
        <w:numPr>
          <w:ilvl w:val="0"/>
          <w:numId w:val="1"/>
        </w:numPr>
        <w:jc w:val="both"/>
        <w:rPr>
          <w:rFonts w:ascii="Tahoma" w:eastAsia="Batang" w:hAnsi="Tahoma" w:cs="Tahoma"/>
          <w:iCs/>
        </w:rPr>
      </w:pPr>
      <w:r w:rsidRPr="00B6353D">
        <w:rPr>
          <w:rFonts w:ascii="Tahoma" w:eastAsia="Batang" w:hAnsi="Tahoma" w:cs="Tahoma"/>
          <w:iCs/>
        </w:rPr>
        <w:t>The leader(s) are seated as a part of the community as it gathers.</w:t>
      </w:r>
    </w:p>
    <w:p w14:paraId="4F7B3937" w14:textId="77777777" w:rsidR="00B6353D" w:rsidRDefault="00B6353D" w:rsidP="00B6353D">
      <w:pPr>
        <w:pStyle w:val="ListParagraph"/>
        <w:numPr>
          <w:ilvl w:val="0"/>
          <w:numId w:val="1"/>
        </w:numPr>
        <w:jc w:val="both"/>
        <w:rPr>
          <w:rFonts w:ascii="Tahoma" w:eastAsia="Batang" w:hAnsi="Tahoma" w:cs="Tahoma"/>
          <w:iCs/>
        </w:rPr>
      </w:pPr>
      <w:r w:rsidRPr="00B6353D">
        <w:rPr>
          <w:rFonts w:ascii="Tahoma" w:eastAsia="Batang" w:hAnsi="Tahoma" w:cs="Tahoma"/>
          <w:iCs/>
        </w:rPr>
        <w:t xml:space="preserve">Customarily there is no prelude or postlude. </w:t>
      </w:r>
    </w:p>
    <w:p w14:paraId="7B5682FC" w14:textId="77777777" w:rsidR="00B6353D" w:rsidRDefault="00B6353D" w:rsidP="00B6353D">
      <w:pPr>
        <w:pStyle w:val="ListParagraph"/>
        <w:numPr>
          <w:ilvl w:val="0"/>
          <w:numId w:val="1"/>
        </w:numPr>
        <w:jc w:val="both"/>
        <w:rPr>
          <w:rFonts w:ascii="Tahoma" w:eastAsia="Batang" w:hAnsi="Tahoma" w:cs="Tahoma"/>
          <w:iCs/>
        </w:rPr>
      </w:pPr>
      <w:r w:rsidRPr="00B6353D">
        <w:rPr>
          <w:rFonts w:ascii="Tahoma" w:eastAsia="Batang" w:hAnsi="Tahoma" w:cs="Tahoma"/>
          <w:iCs/>
        </w:rPr>
        <w:t xml:space="preserve">Avoid last minute preparations; model sitting in silence. </w:t>
      </w:r>
    </w:p>
    <w:p w14:paraId="49E90895" w14:textId="2A5DA8B3" w:rsidR="00122A42" w:rsidRDefault="00A50B49" w:rsidP="00B6353D">
      <w:pPr>
        <w:pStyle w:val="ListParagraph"/>
        <w:numPr>
          <w:ilvl w:val="0"/>
          <w:numId w:val="1"/>
        </w:numPr>
        <w:jc w:val="both"/>
        <w:rPr>
          <w:rFonts w:ascii="Tahoma" w:eastAsia="Batang" w:hAnsi="Tahoma" w:cs="Tahoma"/>
          <w:iCs/>
        </w:rPr>
      </w:pPr>
      <w:r>
        <w:rPr>
          <w:rFonts w:ascii="Tahoma" w:eastAsia="Batang" w:hAnsi="Tahoma" w:cs="Tahoma"/>
          <w:iCs/>
        </w:rPr>
        <w:t>If you want</w:t>
      </w:r>
      <w:r w:rsidR="00122A42" w:rsidRPr="00B6353D">
        <w:rPr>
          <w:rFonts w:ascii="Tahoma" w:eastAsia="Batang" w:hAnsi="Tahoma" w:cs="Tahoma"/>
          <w:iCs/>
        </w:rPr>
        <w:t xml:space="preserve"> a more extended time of silence, check with the chaplain general about scheduling a time of corporate silence</w:t>
      </w:r>
      <w:r>
        <w:rPr>
          <w:rFonts w:ascii="Tahoma" w:eastAsia="Batang" w:hAnsi="Tahoma" w:cs="Tahoma"/>
          <w:iCs/>
        </w:rPr>
        <w:t xml:space="preserve"> before the service</w:t>
      </w:r>
      <w:r w:rsidR="00122A42" w:rsidRPr="00B6353D">
        <w:rPr>
          <w:rFonts w:ascii="Tahoma" w:eastAsia="Batang" w:hAnsi="Tahoma" w:cs="Tahoma"/>
          <w:iCs/>
        </w:rPr>
        <w:t>.</w:t>
      </w:r>
    </w:p>
    <w:p w14:paraId="733A091E" w14:textId="150B17BD" w:rsidR="00B6353D" w:rsidRDefault="00B6353D" w:rsidP="00B6353D">
      <w:pPr>
        <w:jc w:val="both"/>
        <w:rPr>
          <w:rFonts w:ascii="Tahoma" w:eastAsia="Batang" w:hAnsi="Tahoma" w:cs="Tahoma"/>
          <w:iCs/>
        </w:rPr>
      </w:pPr>
      <w:r>
        <w:rPr>
          <w:rFonts w:ascii="Tahoma" w:eastAsia="Batang" w:hAnsi="Tahoma" w:cs="Tahoma"/>
          <w:iCs/>
        </w:rPr>
        <w:t>The Service</w:t>
      </w:r>
    </w:p>
    <w:p w14:paraId="6E9E8C9C" w14:textId="77777777" w:rsidR="00B6353D" w:rsidRPr="00B6353D" w:rsidRDefault="00B6353D" w:rsidP="00B6353D">
      <w:pPr>
        <w:pStyle w:val="ListParagraph"/>
        <w:numPr>
          <w:ilvl w:val="0"/>
          <w:numId w:val="3"/>
        </w:numPr>
        <w:jc w:val="both"/>
        <w:rPr>
          <w:rFonts w:ascii="Tahoma" w:eastAsia="Batang" w:hAnsi="Tahoma" w:cs="Tahoma"/>
          <w:iCs/>
        </w:rPr>
      </w:pPr>
      <w:r w:rsidRPr="00B6353D">
        <w:rPr>
          <w:rFonts w:ascii="Tahoma" w:eastAsia="Batang" w:hAnsi="Tahoma" w:cs="Tahoma"/>
          <w:iCs/>
        </w:rPr>
        <w:t xml:space="preserve">The mood of the entire office is one of peace and tranquility. </w:t>
      </w:r>
    </w:p>
    <w:p w14:paraId="538523B3" w14:textId="77777777" w:rsidR="00B6353D" w:rsidRPr="00B6353D" w:rsidRDefault="00B6353D" w:rsidP="00B6353D">
      <w:pPr>
        <w:pStyle w:val="ListParagraph"/>
        <w:numPr>
          <w:ilvl w:val="0"/>
          <w:numId w:val="3"/>
        </w:numPr>
        <w:jc w:val="both"/>
        <w:rPr>
          <w:rFonts w:ascii="Tahoma" w:eastAsia="Batang" w:hAnsi="Tahoma" w:cs="Tahoma"/>
          <w:iCs/>
        </w:rPr>
      </w:pPr>
      <w:r w:rsidRPr="00B6353D">
        <w:rPr>
          <w:rFonts w:ascii="Tahoma" w:eastAsia="Batang" w:hAnsi="Tahoma" w:cs="Tahoma"/>
          <w:iCs/>
        </w:rPr>
        <w:t xml:space="preserve">The community remains seated throughout.  </w:t>
      </w:r>
    </w:p>
    <w:p w14:paraId="35B75A94" w14:textId="4A77E113" w:rsidR="00B6353D" w:rsidRDefault="00B6353D" w:rsidP="00B6353D">
      <w:pPr>
        <w:pStyle w:val="ListParagraph"/>
        <w:numPr>
          <w:ilvl w:val="0"/>
          <w:numId w:val="3"/>
        </w:numPr>
        <w:jc w:val="both"/>
        <w:rPr>
          <w:rFonts w:ascii="Tahoma" w:eastAsia="Batang" w:hAnsi="Tahoma" w:cs="Tahoma"/>
          <w:iCs/>
        </w:rPr>
      </w:pPr>
      <w:r w:rsidRPr="00B6353D">
        <w:rPr>
          <w:rFonts w:ascii="Tahoma" w:eastAsia="Batang" w:hAnsi="Tahoma" w:cs="Tahoma"/>
          <w:iCs/>
        </w:rPr>
        <w:t xml:space="preserve">Both speaking and singing are done quietly.  </w:t>
      </w:r>
    </w:p>
    <w:p w14:paraId="740277C1" w14:textId="1172B79F" w:rsidR="0021754A" w:rsidRDefault="0021754A" w:rsidP="00B6353D">
      <w:pPr>
        <w:pStyle w:val="ListParagraph"/>
        <w:numPr>
          <w:ilvl w:val="0"/>
          <w:numId w:val="3"/>
        </w:numPr>
        <w:jc w:val="both"/>
        <w:rPr>
          <w:rFonts w:ascii="Tahoma" w:eastAsia="Batang" w:hAnsi="Tahoma" w:cs="Tahoma"/>
          <w:iCs/>
        </w:rPr>
      </w:pPr>
      <w:r>
        <w:rPr>
          <w:rFonts w:ascii="Tahoma" w:eastAsia="Batang" w:hAnsi="Tahoma" w:cs="Tahoma"/>
          <w:iCs/>
        </w:rPr>
        <w:t xml:space="preserve">The service provides for a spoken Kyrie dialog at the beginning of prayer time. Sometimes this has been sung by the community, but turning to a WR# may interrupt the flow of the service.  The Kyrie based on Dvorak’s New World Symphony melody (see </w:t>
      </w:r>
      <w:r>
        <w:rPr>
          <w:rFonts w:ascii="Tahoma" w:eastAsia="Batang" w:hAnsi="Tahoma" w:cs="Tahoma"/>
          <w:i/>
        </w:rPr>
        <w:t xml:space="preserve">The Faith We Sing, </w:t>
      </w:r>
      <w:proofErr w:type="gramStart"/>
      <w:r>
        <w:rPr>
          <w:rFonts w:ascii="Tahoma" w:eastAsia="Batang" w:hAnsi="Tahoma" w:cs="Tahoma"/>
          <w:i/>
        </w:rPr>
        <w:t>2275</w:t>
      </w:r>
      <w:r>
        <w:rPr>
          <w:rFonts w:ascii="Tahoma" w:eastAsia="Batang" w:hAnsi="Tahoma" w:cs="Tahoma"/>
          <w:iCs/>
        </w:rPr>
        <w:t xml:space="preserve"> )</w:t>
      </w:r>
      <w:proofErr w:type="gramEnd"/>
      <w:r>
        <w:rPr>
          <w:rFonts w:ascii="Tahoma" w:eastAsia="Batang" w:hAnsi="Tahoma" w:cs="Tahoma"/>
          <w:iCs/>
        </w:rPr>
        <w:t xml:space="preserve"> has been sung here effectively</w:t>
      </w:r>
      <w:r w:rsidR="00A50B49">
        <w:rPr>
          <w:rFonts w:ascii="Tahoma" w:eastAsia="Batang" w:hAnsi="Tahoma" w:cs="Tahoma"/>
          <w:iCs/>
        </w:rPr>
        <w:t>,</w:t>
      </w:r>
      <w:r>
        <w:rPr>
          <w:rFonts w:ascii="Tahoma" w:eastAsia="Batang" w:hAnsi="Tahoma" w:cs="Tahoma"/>
          <w:iCs/>
        </w:rPr>
        <w:t xml:space="preserve"> without accompaniment. It seems to be in almost everyone’s memory bank whether they know they know it or not!!</w:t>
      </w:r>
    </w:p>
    <w:p w14:paraId="55DCACE4" w14:textId="1A7A380A" w:rsidR="00890C0D" w:rsidRDefault="00890C0D" w:rsidP="00B6353D">
      <w:pPr>
        <w:pStyle w:val="ListParagraph"/>
        <w:numPr>
          <w:ilvl w:val="0"/>
          <w:numId w:val="3"/>
        </w:numPr>
        <w:jc w:val="both"/>
        <w:rPr>
          <w:rFonts w:ascii="Tahoma" w:eastAsia="Batang" w:hAnsi="Tahoma" w:cs="Tahoma"/>
          <w:iCs/>
        </w:rPr>
      </w:pPr>
      <w:r>
        <w:rPr>
          <w:rFonts w:ascii="Tahoma" w:eastAsia="Batang" w:hAnsi="Tahoma" w:cs="Tahoma"/>
          <w:iCs/>
        </w:rPr>
        <w:t>Lived experience leads us to suggest that after the silence in the Commendation, the following invitation may be given: “Let us join together in the next lines of the commendation, concluding “O God of Truth and Love.”  (The addition of “and Love” was the addition practiced by Jim Cotter of blessed memory).</w:t>
      </w:r>
    </w:p>
    <w:p w14:paraId="0067F050" w14:textId="1EBE37A5" w:rsidR="00890C0D" w:rsidRDefault="00890C0D" w:rsidP="00B6353D">
      <w:pPr>
        <w:pStyle w:val="ListParagraph"/>
        <w:numPr>
          <w:ilvl w:val="0"/>
          <w:numId w:val="3"/>
        </w:numPr>
        <w:jc w:val="both"/>
        <w:rPr>
          <w:rFonts w:ascii="Tahoma" w:eastAsia="Batang" w:hAnsi="Tahoma" w:cs="Tahoma"/>
          <w:iCs/>
        </w:rPr>
      </w:pPr>
      <w:r>
        <w:rPr>
          <w:rFonts w:ascii="Tahoma" w:eastAsia="Batang" w:hAnsi="Tahoma" w:cs="Tahoma"/>
          <w:iCs/>
        </w:rPr>
        <w:t>The Concluding Prayer (the “Spirit Prayer”) may be introduced by saying: “As we remember the prayer Jesus taught us, we pray together.”</w:t>
      </w:r>
    </w:p>
    <w:p w14:paraId="02696C51" w14:textId="7708A250" w:rsidR="00890C0D" w:rsidRDefault="00890C0D" w:rsidP="00B6353D">
      <w:pPr>
        <w:pStyle w:val="ListParagraph"/>
        <w:numPr>
          <w:ilvl w:val="0"/>
          <w:numId w:val="3"/>
        </w:numPr>
        <w:jc w:val="both"/>
        <w:rPr>
          <w:rFonts w:ascii="Tahoma" w:eastAsia="Batang" w:hAnsi="Tahoma" w:cs="Tahoma"/>
          <w:iCs/>
        </w:rPr>
      </w:pPr>
      <w:r>
        <w:rPr>
          <w:rFonts w:ascii="Tahoma" w:eastAsia="Batang" w:hAnsi="Tahoma" w:cs="Tahoma"/>
          <w:iCs/>
        </w:rPr>
        <w:t>The Canticle of Simeon and Gloria may be chanted quietly in unison</w:t>
      </w:r>
      <w:r w:rsidR="00870794">
        <w:rPr>
          <w:rFonts w:ascii="Tahoma" w:eastAsia="Batang" w:hAnsi="Tahoma" w:cs="Tahoma"/>
          <w:iCs/>
        </w:rPr>
        <w:t xml:space="preserve"> </w:t>
      </w:r>
      <w:r w:rsidR="000F6C59">
        <w:rPr>
          <w:rFonts w:ascii="Tahoma" w:eastAsia="Batang" w:hAnsi="Tahoma" w:cs="Tahoma"/>
          <w:iCs/>
        </w:rPr>
        <w:t xml:space="preserve">or sung </w:t>
      </w:r>
      <w:r w:rsidR="00A50B49">
        <w:rPr>
          <w:rFonts w:ascii="Tahoma" w:eastAsia="Batang" w:hAnsi="Tahoma" w:cs="Tahoma"/>
          <w:iCs/>
        </w:rPr>
        <w:t xml:space="preserve">in the forms provided by Worship Resources 89 and 90 of </w:t>
      </w:r>
      <w:r w:rsidR="00A50B49">
        <w:rPr>
          <w:rFonts w:ascii="Tahoma" w:eastAsia="Batang" w:hAnsi="Tahoma" w:cs="Tahoma"/>
          <w:i/>
        </w:rPr>
        <w:t>A Book of Offices and Services for the Order of Saint Luke</w:t>
      </w:r>
      <w:r w:rsidR="00A50B49">
        <w:rPr>
          <w:rFonts w:ascii="Tahoma" w:eastAsia="Batang" w:hAnsi="Tahoma" w:cs="Tahoma"/>
          <w:i/>
        </w:rPr>
        <w:t>.</w:t>
      </w:r>
    </w:p>
    <w:p w14:paraId="7CE42E54" w14:textId="36B6DA88" w:rsidR="00B6353D" w:rsidRPr="00B6353D" w:rsidRDefault="00890C0D" w:rsidP="00B6353D">
      <w:pPr>
        <w:pStyle w:val="ListParagraph"/>
        <w:numPr>
          <w:ilvl w:val="0"/>
          <w:numId w:val="3"/>
        </w:numPr>
        <w:jc w:val="both"/>
        <w:rPr>
          <w:rFonts w:ascii="Tahoma" w:eastAsia="Batang" w:hAnsi="Tahoma" w:cs="Tahoma"/>
          <w:iCs/>
        </w:rPr>
      </w:pPr>
      <w:r>
        <w:rPr>
          <w:rFonts w:ascii="Tahoma" w:eastAsia="Batang" w:hAnsi="Tahoma" w:cs="Tahoma"/>
          <w:iCs/>
        </w:rPr>
        <w:t>When this is the last office of the day, the abbot’s commendation may be given before the blessing.</w:t>
      </w:r>
    </w:p>
    <w:p w14:paraId="561A9D5B" w14:textId="2147C775" w:rsidR="00B6353D" w:rsidRDefault="00B6353D" w:rsidP="00B6353D">
      <w:pPr>
        <w:pStyle w:val="ListParagraph"/>
        <w:numPr>
          <w:ilvl w:val="0"/>
          <w:numId w:val="3"/>
        </w:numPr>
        <w:jc w:val="both"/>
        <w:rPr>
          <w:rFonts w:ascii="Tahoma" w:eastAsia="Batang" w:hAnsi="Tahoma" w:cs="Tahoma"/>
          <w:iCs/>
        </w:rPr>
      </w:pPr>
      <w:r w:rsidRPr="00B6353D">
        <w:rPr>
          <w:rFonts w:ascii="Tahoma" w:eastAsia="Batang" w:hAnsi="Tahoma" w:cs="Tahoma"/>
          <w:iCs/>
        </w:rPr>
        <w:t>The service begins and ends in silence.</w:t>
      </w:r>
    </w:p>
    <w:p w14:paraId="59BB98A9" w14:textId="3166D9A0" w:rsidR="00A50B49" w:rsidRDefault="00A50B49" w:rsidP="00B6353D">
      <w:pPr>
        <w:pStyle w:val="ListParagraph"/>
        <w:numPr>
          <w:ilvl w:val="0"/>
          <w:numId w:val="3"/>
        </w:numPr>
        <w:jc w:val="both"/>
        <w:rPr>
          <w:rFonts w:ascii="Tahoma" w:eastAsia="Batang" w:hAnsi="Tahoma" w:cs="Tahoma"/>
          <w:iCs/>
        </w:rPr>
      </w:pPr>
      <w:r>
        <w:rPr>
          <w:rFonts w:ascii="Tahoma" w:eastAsia="Batang" w:hAnsi="Tahoma" w:cs="Tahoma"/>
          <w:iCs/>
        </w:rPr>
        <w:t>After a time of silence, one of the leaders may be designated to model leaving quietly while another remains seated for an extended time of prayer and meditation (perhaps until all, or almost all, the other participants have departed.</w:t>
      </w:r>
    </w:p>
    <w:p w14:paraId="47CAC5CB" w14:textId="77777777" w:rsidR="00B6353D" w:rsidRPr="00B6353D" w:rsidRDefault="00B6353D" w:rsidP="00B6353D">
      <w:pPr>
        <w:ind w:left="360"/>
        <w:jc w:val="both"/>
        <w:rPr>
          <w:rFonts w:ascii="Tahoma" w:eastAsia="Batang" w:hAnsi="Tahoma" w:cs="Tahoma"/>
          <w:iCs/>
        </w:rPr>
      </w:pPr>
    </w:p>
    <w:p w14:paraId="659A6195" w14:textId="77777777" w:rsidR="00B6353D" w:rsidRPr="00B6353D" w:rsidRDefault="00B6353D" w:rsidP="00B6353D">
      <w:pPr>
        <w:jc w:val="both"/>
        <w:rPr>
          <w:rFonts w:ascii="Tahoma" w:eastAsia="Batang" w:hAnsi="Tahoma" w:cs="Tahoma"/>
          <w:iCs/>
        </w:rPr>
      </w:pPr>
    </w:p>
    <w:p w14:paraId="0224757D" w14:textId="310022A3" w:rsidR="00122A42" w:rsidRPr="00122A42" w:rsidRDefault="00122A42" w:rsidP="00122A42">
      <w:pPr>
        <w:jc w:val="both"/>
        <w:rPr>
          <w:rFonts w:ascii="Tahoma" w:eastAsia="Batang" w:hAnsi="Tahoma" w:cs="Tahoma"/>
          <w:iCs/>
          <w:sz w:val="16"/>
          <w:szCs w:val="16"/>
        </w:rPr>
      </w:pPr>
      <w:r>
        <w:rPr>
          <w:rFonts w:ascii="Tahoma" w:eastAsia="Batang" w:hAnsi="Tahoma" w:cs="Tahoma"/>
          <w:iCs/>
          <w:sz w:val="16"/>
          <w:szCs w:val="16"/>
        </w:rPr>
        <w:tab/>
      </w:r>
      <w:r>
        <w:rPr>
          <w:rFonts w:ascii="Tahoma" w:eastAsia="Batang" w:hAnsi="Tahoma" w:cs="Tahoma"/>
          <w:iCs/>
          <w:sz w:val="16"/>
          <w:szCs w:val="16"/>
        </w:rPr>
        <w:tab/>
      </w:r>
      <w:r>
        <w:rPr>
          <w:rFonts w:ascii="Tahoma" w:eastAsia="Batang" w:hAnsi="Tahoma" w:cs="Tahoma"/>
          <w:iCs/>
          <w:sz w:val="16"/>
          <w:szCs w:val="16"/>
        </w:rPr>
        <w:tab/>
      </w:r>
      <w:r>
        <w:rPr>
          <w:rFonts w:ascii="Tahoma" w:eastAsia="Batang" w:hAnsi="Tahoma" w:cs="Tahoma"/>
          <w:iCs/>
          <w:sz w:val="16"/>
          <w:szCs w:val="16"/>
        </w:rPr>
        <w:tab/>
      </w:r>
      <w:r>
        <w:rPr>
          <w:rFonts w:ascii="Tahoma" w:eastAsia="Batang" w:hAnsi="Tahoma" w:cs="Tahoma"/>
          <w:iCs/>
          <w:sz w:val="16"/>
          <w:szCs w:val="16"/>
        </w:rPr>
        <w:tab/>
      </w:r>
      <w:r>
        <w:rPr>
          <w:rFonts w:ascii="Tahoma" w:eastAsia="Batang" w:hAnsi="Tahoma" w:cs="Tahoma"/>
          <w:iCs/>
          <w:sz w:val="16"/>
          <w:szCs w:val="16"/>
        </w:rPr>
        <w:tab/>
      </w:r>
      <w:r>
        <w:rPr>
          <w:rFonts w:ascii="Tahoma" w:eastAsia="Batang" w:hAnsi="Tahoma" w:cs="Tahoma"/>
          <w:iCs/>
          <w:sz w:val="16"/>
          <w:szCs w:val="16"/>
        </w:rPr>
        <w:tab/>
      </w:r>
    </w:p>
    <w:p w14:paraId="6AECF92F" w14:textId="77777777" w:rsidR="00FC6F64" w:rsidRPr="00122A42" w:rsidRDefault="00FC6F64">
      <w:pPr>
        <w:rPr>
          <w:rFonts w:ascii="Tahoma" w:hAnsi="Tahoma" w:cs="Tahoma"/>
        </w:rPr>
      </w:pPr>
    </w:p>
    <w:sectPr w:rsidR="00FC6F64" w:rsidRPr="0012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FA3"/>
    <w:multiLevelType w:val="hybridMultilevel"/>
    <w:tmpl w:val="0AA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B35AC"/>
    <w:multiLevelType w:val="hybridMultilevel"/>
    <w:tmpl w:val="6B88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813F0"/>
    <w:multiLevelType w:val="hybridMultilevel"/>
    <w:tmpl w:val="3FC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875337">
    <w:abstractNumId w:val="0"/>
  </w:num>
  <w:num w:numId="2" w16cid:durableId="823935227">
    <w:abstractNumId w:val="2"/>
  </w:num>
  <w:num w:numId="3" w16cid:durableId="1216622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42"/>
    <w:rsid w:val="000F6C59"/>
    <w:rsid w:val="00122A42"/>
    <w:rsid w:val="001A277F"/>
    <w:rsid w:val="0021754A"/>
    <w:rsid w:val="00870794"/>
    <w:rsid w:val="00890C0D"/>
    <w:rsid w:val="00A50B49"/>
    <w:rsid w:val="00B6353D"/>
    <w:rsid w:val="00D769EC"/>
    <w:rsid w:val="00FC371A"/>
    <w:rsid w:val="00FC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884"/>
  <w15:chartTrackingRefBased/>
  <w15:docId w15:val="{E77C2966-345D-401E-9F7B-F87264DE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2022-05-10T17:17:00Z</dcterms:created>
  <dcterms:modified xsi:type="dcterms:W3CDTF">2022-05-10T17:17:00Z</dcterms:modified>
</cp:coreProperties>
</file>